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spacing w:after="80"/>
        <w:jc w:val="center"/>
      </w:pPr>
      <w:r>
        <w:rPr>
          <w:sz w:val="44"/>
        </w:rPr>
        <w:t>Bune practici manageriale în activitatea CJRAE Timiș</w:t>
      </w:r>
    </w:p>
    <w:p>
      <w:pPr>
        <w:spacing w:after="80"/>
        <w:jc w:val="center"/>
      </w:pPr>
      <w:r>
        <w:rPr>
          <w:i/>
          <w:color w:val="595959"/>
          <w:sz w:val="20"/>
        </w:rPr>
        <w:t>Document-suport pentru consolidarea unei culturi organizaționale orientate spre calitate, transparență și sprijin educațional integrat</w:t>
      </w:r>
    </w:p>
    <w:tbl>
      <w:tblPr>
        <w:tblW w:type="auto" w:w="0"/>
        <w:jc w:val="center"/>
        <w:tblLook w:firstColumn="1" w:firstRow="1" w:lastColumn="0" w:lastRow="0" w:noHBand="0" w:noVBand="1" w:val="04A0"/>
      </w:tblPr>
      <w:tblGrid>
        <w:gridCol w:w="10224"/>
      </w:tblGrid>
      <w:tr>
        <w:tc>
          <w:tcPr>
            <w:tcW w:type="dxa" w:w="10224"/>
            <w:shd w:fill="EAF2F8"/>
            <w:vAlign w:val="center"/>
          </w:tcPr>
          <w:p>
            <w:pPr>
              <w:spacing w:after="20"/>
              <w:ind w:left="72" w:right="72"/>
            </w:pPr>
            <w:r>
              <w:rPr>
                <w:b/>
                <w:sz w:val="19"/>
              </w:rPr>
              <w:t>Scopul documentului</w:t>
            </w:r>
            <w:r>
              <w:rPr>
                <w:sz w:val="19"/>
              </w:rPr>
              <w:br/>
              <w:t>Acest material propune repere de bună practică managerială pentru coordonarea, monitorizarea și dezvoltarea serviciilor educaționale specializate oferite beneficiarilor CJRAE Timiș: copii/elevi, părinți, cadre didactice, unități de învățământ și parteneri instituționali. Documentul poate fi utilizat ca pagină informativă pe site, ca suport pentru planificare internă sau ca instrument de autoevaluare managerială.</w:t>
            </w:r>
          </w:p>
        </w:tc>
      </w:tr>
    </w:tbl>
    <w:p>
      <w:pPr>
        <w:pStyle w:val="Heading1"/>
        <w:spacing w:before="120" w:after="60"/>
      </w:pPr>
      <w:r>
        <w:rPr>
          <w:sz w:val="30"/>
        </w:rPr>
        <w:t>1. Context instituțional</w:t>
      </w:r>
    </w:p>
    <w:p>
      <w:pPr>
        <w:spacing w:after="80"/>
      </w:pPr>
      <w:r>
        <w:rPr>
          <w:sz w:val="20"/>
        </w:rPr>
        <w:t>Centrul Județean de Resurse și Asistență Educațională Timiș are un rol esențial în susținerea incluziunii, consilierii, orientării școlare și profesionale, terapiei logopedice, evaluării și sprijinului educațional specializat. Prin natura serviciilor oferite, managementul CJRAE presupune coordonare interinstituțională, decizii bazate pe date, comunicare clară și asigurarea calității intervențiilor educaționale.</w:t>
      </w:r>
    </w:p>
    <w:p>
      <w:pPr>
        <w:spacing w:after="80"/>
      </w:pPr>
      <w:r>
        <w:rPr>
          <w:sz w:val="20"/>
        </w:rPr>
        <w:t>Bunele practici manageriale prezentate mai jos urmăresc creșterea eficienței organizaționale, asigurarea unui climat profesional colaborativ și îmbunătățirea accesului beneficiarilor la servicii adaptate nevoilor reale ale comunității educaționale din județul Timiș.</w:t>
      </w:r>
    </w:p>
    <w:p>
      <w:pPr>
        <w:pStyle w:val="Heading1"/>
        <w:spacing w:before="120" w:after="60"/>
      </w:pPr>
      <w:r>
        <w:rPr>
          <w:sz w:val="30"/>
        </w:rPr>
        <w:t>2. Principii manageriale recomandate</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shd w:fill="D9EAF7"/>
          </w:tcPr>
          <w:p>
            <w:pPr>
              <w:spacing w:after="20"/>
            </w:pPr>
            <w:r>
              <w:rPr>
                <w:sz w:val="19"/>
              </w:rPr>
            </w:r>
            <w:r>
              <w:rPr>
                <w:b/>
                <w:sz w:val="19"/>
              </w:rPr>
              <w:t>Principiu</w:t>
            </w:r>
          </w:p>
        </w:tc>
        <w:tc>
          <w:tcPr>
            <w:tcW w:type="dxa" w:w="5112"/>
            <w:shd w:fill="D9EAF7"/>
          </w:tcPr>
          <w:p>
            <w:pPr>
              <w:spacing w:after="20"/>
            </w:pPr>
            <w:r>
              <w:rPr>
                <w:sz w:val="19"/>
              </w:rPr>
            </w:r>
            <w:r>
              <w:rPr>
                <w:b/>
                <w:sz w:val="19"/>
              </w:rPr>
              <w:t>Aplicare managerială</w:t>
            </w:r>
          </w:p>
        </w:tc>
      </w:tr>
      <w:tr>
        <w:tc>
          <w:tcPr>
            <w:tcW w:type="dxa" w:w="5112"/>
          </w:tcPr>
          <w:p>
            <w:pPr>
              <w:spacing w:after="20"/>
            </w:pPr>
            <w:r>
              <w:rPr>
                <w:sz w:val="19"/>
              </w:rPr>
            </w:r>
            <w:r>
              <w:rPr>
                <w:b/>
                <w:sz w:val="19"/>
              </w:rPr>
              <w:t>Orientare către beneficiar</w:t>
            </w:r>
          </w:p>
        </w:tc>
        <w:tc>
          <w:tcPr>
            <w:tcW w:type="dxa" w:w="5112"/>
          </w:tcPr>
          <w:p>
            <w:pPr>
              <w:spacing w:after="20"/>
            </w:pPr>
            <w:r>
              <w:rPr>
                <w:sz w:val="19"/>
              </w:rPr>
            </w:r>
            <w:r>
              <w:rPr>
                <w:b w:val="0"/>
                <w:sz w:val="19"/>
              </w:rPr>
              <w:t>Deciziile manageriale pornesc de la nevoile copiilor/elevilor, părinților, cadrelor didactice și unităților de învățământ.</w:t>
            </w:r>
          </w:p>
        </w:tc>
      </w:tr>
      <w:tr>
        <w:tc>
          <w:tcPr>
            <w:tcW w:type="dxa" w:w="5112"/>
          </w:tcPr>
          <w:p>
            <w:pPr>
              <w:spacing w:after="20"/>
            </w:pPr>
            <w:r>
              <w:rPr>
                <w:sz w:val="19"/>
              </w:rPr>
            </w:r>
            <w:r>
              <w:rPr>
                <w:b/>
                <w:sz w:val="19"/>
              </w:rPr>
              <w:t>Transparență și responsabilitate</w:t>
            </w:r>
          </w:p>
        </w:tc>
        <w:tc>
          <w:tcPr>
            <w:tcW w:type="dxa" w:w="5112"/>
          </w:tcPr>
          <w:p>
            <w:pPr>
              <w:spacing w:after="20"/>
            </w:pPr>
            <w:r>
              <w:rPr>
                <w:sz w:val="19"/>
              </w:rPr>
            </w:r>
            <w:r>
              <w:rPr>
                <w:b w:val="0"/>
                <w:sz w:val="19"/>
              </w:rPr>
              <w:t>Procedurile, criteriile, termenele și responsabilitățile sunt comunicate clar, predictibil și accesibil.</w:t>
            </w:r>
          </w:p>
        </w:tc>
      </w:tr>
      <w:tr>
        <w:tc>
          <w:tcPr>
            <w:tcW w:type="dxa" w:w="5112"/>
          </w:tcPr>
          <w:p>
            <w:pPr>
              <w:spacing w:after="20"/>
            </w:pPr>
            <w:r>
              <w:rPr>
                <w:sz w:val="19"/>
              </w:rPr>
            </w:r>
            <w:r>
              <w:rPr>
                <w:b/>
                <w:sz w:val="19"/>
              </w:rPr>
              <w:t>Colaborare și interdisciplinaritate</w:t>
            </w:r>
          </w:p>
        </w:tc>
        <w:tc>
          <w:tcPr>
            <w:tcW w:type="dxa" w:w="5112"/>
          </w:tcPr>
          <w:p>
            <w:pPr>
              <w:spacing w:after="20"/>
            </w:pPr>
            <w:r>
              <w:rPr>
                <w:sz w:val="19"/>
              </w:rPr>
            </w:r>
            <w:r>
              <w:rPr>
                <w:b w:val="0"/>
                <w:sz w:val="19"/>
              </w:rPr>
              <w:t>Specialiștii, managerii școlari, familiile și partenerii comunitari lucrează coordonat, cu roluri bine definite.</w:t>
            </w:r>
          </w:p>
        </w:tc>
      </w:tr>
      <w:tr>
        <w:tc>
          <w:tcPr>
            <w:tcW w:type="dxa" w:w="5112"/>
          </w:tcPr>
          <w:p>
            <w:pPr>
              <w:spacing w:after="20"/>
            </w:pPr>
            <w:r>
              <w:rPr>
                <w:sz w:val="19"/>
              </w:rPr>
            </w:r>
            <w:r>
              <w:rPr>
                <w:b/>
                <w:sz w:val="19"/>
              </w:rPr>
              <w:t>Decizie bazată pe date</w:t>
            </w:r>
          </w:p>
        </w:tc>
        <w:tc>
          <w:tcPr>
            <w:tcW w:type="dxa" w:w="5112"/>
          </w:tcPr>
          <w:p>
            <w:pPr>
              <w:spacing w:after="20"/>
            </w:pPr>
            <w:r>
              <w:rPr>
                <w:sz w:val="19"/>
              </w:rPr>
            </w:r>
            <w:r>
              <w:rPr>
                <w:b w:val="0"/>
                <w:sz w:val="19"/>
              </w:rPr>
              <w:t>Planificarea și evaluarea se fundamentează pe indicatori, rapoarte, feedback și studii relevante.</w:t>
            </w:r>
          </w:p>
        </w:tc>
      </w:tr>
      <w:tr>
        <w:tc>
          <w:tcPr>
            <w:tcW w:type="dxa" w:w="5112"/>
          </w:tcPr>
          <w:p>
            <w:pPr>
              <w:spacing w:after="20"/>
            </w:pPr>
            <w:r>
              <w:rPr>
                <w:sz w:val="19"/>
              </w:rPr>
            </w:r>
            <w:r>
              <w:rPr>
                <w:b/>
                <w:sz w:val="19"/>
              </w:rPr>
              <w:t>Etică și confidențialitate</w:t>
            </w:r>
          </w:p>
        </w:tc>
        <w:tc>
          <w:tcPr>
            <w:tcW w:type="dxa" w:w="5112"/>
          </w:tcPr>
          <w:p>
            <w:pPr>
              <w:spacing w:after="20"/>
            </w:pPr>
            <w:r>
              <w:rPr>
                <w:sz w:val="19"/>
              </w:rPr>
            </w:r>
            <w:r>
              <w:rPr>
                <w:b w:val="0"/>
                <w:sz w:val="19"/>
              </w:rPr>
              <w:t>Gestionarea cazurilor și a documentelor respectă demnitatea beneficiarilor și protecția datelor personale.</w:t>
            </w:r>
          </w:p>
        </w:tc>
      </w:tr>
      <w:tr>
        <w:tc>
          <w:tcPr>
            <w:tcW w:type="dxa" w:w="5112"/>
          </w:tcPr>
          <w:p>
            <w:pPr>
              <w:spacing w:after="20"/>
            </w:pPr>
            <w:r>
              <w:rPr>
                <w:sz w:val="19"/>
              </w:rPr>
            </w:r>
            <w:r>
              <w:rPr>
                <w:b/>
                <w:sz w:val="19"/>
              </w:rPr>
              <w:t>Îmbunătățire continuă</w:t>
            </w:r>
          </w:p>
        </w:tc>
        <w:tc>
          <w:tcPr>
            <w:tcW w:type="dxa" w:w="5112"/>
          </w:tcPr>
          <w:p>
            <w:pPr>
              <w:spacing w:after="20"/>
            </w:pPr>
            <w:r>
              <w:rPr>
                <w:sz w:val="19"/>
              </w:rPr>
            </w:r>
            <w:r>
              <w:rPr>
                <w:b w:val="0"/>
                <w:sz w:val="19"/>
              </w:rPr>
              <w:t>Activitățile sunt monitorizate periodic, iar rezultatele sunt folosite pentru ajustarea serviciilor și procedurilor.</w:t>
            </w:r>
          </w:p>
        </w:tc>
      </w:tr>
    </w:tbl>
    <w:p>
      <w:pPr>
        <w:pStyle w:val="Heading1"/>
        <w:spacing w:before="120" w:after="60"/>
      </w:pPr>
      <w:r>
        <w:rPr>
          <w:sz w:val="30"/>
        </w:rPr>
        <w:t>3. Domenii de bune practici</w:t>
      </w:r>
    </w:p>
    <w:p>
      <w:pPr>
        <w:pStyle w:val="Heading2"/>
        <w:spacing w:before="120" w:after="60"/>
      </w:pPr>
      <w:r>
        <w:rPr>
          <w:sz w:val="25"/>
        </w:rPr>
        <w:t>3.1. Planificare strategică și operațională</w:t>
      </w:r>
    </w:p>
    <w:p>
      <w:pPr>
        <w:pStyle w:val="ListBullet"/>
        <w:spacing w:after="80"/>
      </w:pPr>
      <w:r>
        <w:rPr>
          <w:sz w:val="20"/>
        </w:rPr>
        <w:t>Actualizarea anuală a priorităților instituționale în raport cu nevoile identificate în școli, solicitările beneficiarilor și direcțiile politicilor educaționale.</w:t>
      </w:r>
    </w:p>
    <w:p>
      <w:pPr>
        <w:pStyle w:val="ListBullet"/>
        <w:spacing w:after="80"/>
      </w:pPr>
      <w:r>
        <w:rPr>
          <w:sz w:val="20"/>
        </w:rPr>
        <w:t>Corelarea planului managerial cu planurile compartimentelor, calendarul activităților, resursele disponibile și indicatorii de rezultat.</w:t>
      </w:r>
    </w:p>
    <w:p>
      <w:pPr>
        <w:pStyle w:val="ListBullet"/>
        <w:spacing w:after="80"/>
      </w:pPr>
      <w:r>
        <w:rPr>
          <w:sz w:val="20"/>
        </w:rPr>
        <w:t>Stabilirea unor obiective clare, măsurabile și realiste pentru fiecare serviciu: consiliere psihopedagogică, evaluare și orientare, logopedie, sprijin educațional, proiecte și parteneriate.</w:t>
      </w:r>
    </w:p>
    <w:p>
      <w:pPr>
        <w:pStyle w:val="ListBullet"/>
        <w:spacing w:after="80"/>
      </w:pPr>
      <w:r>
        <w:rPr>
          <w:sz w:val="20"/>
        </w:rPr>
        <w:t>Revizuirea periodică a progresului prin ședințe operative, rapoarte sintetice și măsuri de ajustare.</w:t>
      </w:r>
    </w:p>
    <w:p>
      <w:pPr>
        <w:pStyle w:val="Heading2"/>
        <w:spacing w:before="120" w:after="60"/>
      </w:pPr>
      <w:r>
        <w:rPr>
          <w:sz w:val="25"/>
        </w:rPr>
        <w:t>3.2. Managementul serviciilor specializate</w:t>
      </w:r>
    </w:p>
    <w:p>
      <w:pPr>
        <w:pStyle w:val="ListBullet"/>
        <w:spacing w:after="80"/>
      </w:pPr>
      <w:r>
        <w:rPr>
          <w:sz w:val="20"/>
        </w:rPr>
        <w:t>Standardizarea fluxurilor de lucru pentru solicitări, programări, evaluări, intervenții, raportări și arhivare.</w:t>
      </w:r>
    </w:p>
    <w:p>
      <w:pPr>
        <w:pStyle w:val="ListBullet"/>
        <w:spacing w:after="80"/>
      </w:pPr>
      <w:r>
        <w:rPr>
          <w:sz w:val="20"/>
        </w:rPr>
        <w:t>Utilizarea unor instrumente unitare de evidență, cu respectarea confidențialității și a regulilor de protecție a datelor.</w:t>
      </w:r>
    </w:p>
    <w:p>
      <w:pPr>
        <w:pStyle w:val="ListBullet"/>
        <w:spacing w:after="80"/>
      </w:pPr>
      <w:r>
        <w:rPr>
          <w:sz w:val="20"/>
        </w:rPr>
        <w:t>Orientarea beneficiarilor către serviciul potrivit, astfel încât răspunsul instituției să fie prompt, coerent și ușor de urmărit.</w:t>
      </w:r>
    </w:p>
    <w:p>
      <w:pPr>
        <w:pStyle w:val="ListBullet"/>
        <w:spacing w:after="80"/>
      </w:pPr>
      <w:r>
        <w:rPr>
          <w:sz w:val="20"/>
        </w:rPr>
        <w:t>Monitorizarea volumului de activitate și echilibrarea sarcinilor între specialiști, în funcție de complexitatea cazurilor și de contextul local.</w:t>
      </w:r>
    </w:p>
    <w:p>
      <w:pPr>
        <w:pStyle w:val="Heading2"/>
        <w:spacing w:before="120" w:after="60"/>
      </w:pPr>
      <w:r>
        <w:rPr>
          <w:sz w:val="25"/>
        </w:rPr>
        <w:t>3.3. Comunicare instituțională</w:t>
      </w:r>
    </w:p>
    <w:p>
      <w:pPr>
        <w:pStyle w:val="ListBullet"/>
        <w:spacing w:after="80"/>
      </w:pPr>
      <w:r>
        <w:rPr>
          <w:sz w:val="20"/>
        </w:rPr>
        <w:t>Publicarea pe site a informațiilor esențiale: program, proceduri, formulare, date de contact, termene, responsabilități și noutăți.</w:t>
      </w:r>
    </w:p>
    <w:p>
      <w:pPr>
        <w:pStyle w:val="ListBullet"/>
        <w:spacing w:after="80"/>
      </w:pPr>
      <w:r>
        <w:rPr>
          <w:sz w:val="20"/>
        </w:rPr>
        <w:t>Folosirea unui limbaj clar, empatic și accesibil pentru beneficiari, evitând formulările excesiv tehnice acolo unde nu sunt necesare.</w:t>
      </w:r>
    </w:p>
    <w:p>
      <w:pPr>
        <w:pStyle w:val="ListBullet"/>
        <w:spacing w:after="80"/>
      </w:pPr>
      <w:r>
        <w:rPr>
          <w:sz w:val="20"/>
        </w:rPr>
        <w:t>Transmiterea unitară a mesajelor către școli, părinți și parteneri, prin canale oficiale și responsabili desemnați.</w:t>
      </w:r>
    </w:p>
    <w:p>
      <w:pPr>
        <w:pStyle w:val="ListBullet"/>
        <w:spacing w:after="80"/>
      </w:pPr>
      <w:r>
        <w:rPr>
          <w:sz w:val="20"/>
        </w:rPr>
        <w:t>Actualizarea periodică a paginilor de interes public, pentru a reduce incertitudinea și solicitările repetitive.</w:t>
      </w:r>
    </w:p>
    <w:p>
      <w:pPr>
        <w:pStyle w:val="Heading2"/>
        <w:spacing w:before="120" w:after="60"/>
      </w:pPr>
      <w:r>
        <w:rPr>
          <w:sz w:val="25"/>
        </w:rPr>
        <w:t>3.4. Leadership colaborativ și climat organizațional</w:t>
      </w:r>
    </w:p>
    <w:p>
      <w:pPr>
        <w:pStyle w:val="ListBullet"/>
        <w:spacing w:after="80"/>
      </w:pPr>
      <w:r>
        <w:rPr>
          <w:sz w:val="20"/>
        </w:rPr>
        <w:t>Promovarea unei culturi a sprijinului profesional, în care feedbackul este folosit pentru învățare, nu pentru sancționare informală.</w:t>
      </w:r>
    </w:p>
    <w:p>
      <w:pPr>
        <w:pStyle w:val="ListBullet"/>
        <w:spacing w:after="80"/>
      </w:pPr>
      <w:r>
        <w:rPr>
          <w:sz w:val="20"/>
        </w:rPr>
        <w:t>Implicarea specialiștilor în elaborarea procedurilor, a materialelor metodice și a deciziilor care privesc activitatea lor directă.</w:t>
      </w:r>
    </w:p>
    <w:p>
      <w:pPr>
        <w:pStyle w:val="ListBullet"/>
        <w:spacing w:after="80"/>
      </w:pPr>
      <w:r>
        <w:rPr>
          <w:sz w:val="20"/>
        </w:rPr>
        <w:t>Organizarea de întâlniri tematice, comunități de practică și schimburi de experiență între cabinete și compartimente.</w:t>
      </w:r>
    </w:p>
    <w:p>
      <w:pPr>
        <w:pStyle w:val="ListBullet"/>
        <w:spacing w:after="80"/>
      </w:pPr>
      <w:r>
        <w:rPr>
          <w:sz w:val="20"/>
        </w:rPr>
        <w:t>Recunoașterea contribuțiilor profesionale prin diseminarea rezultatelor, publicarea de resurse și valorizarea inițiativelor locale.</w:t>
      </w:r>
    </w:p>
    <w:p>
      <w:pPr>
        <w:pStyle w:val="Heading2"/>
        <w:spacing w:before="120" w:after="60"/>
      </w:pPr>
      <w:r>
        <w:rPr>
          <w:sz w:val="25"/>
        </w:rPr>
        <w:t>3.5. Monitorizare, evaluare și raportare</w:t>
      </w:r>
    </w:p>
    <w:p>
      <w:pPr>
        <w:pStyle w:val="ListBullet"/>
        <w:spacing w:after="80"/>
      </w:pPr>
      <w:r>
        <w:rPr>
          <w:sz w:val="20"/>
        </w:rPr>
        <w:t>Definirea unor indicatori simpli și relevanți: număr de beneficiari, tipuri de solicitări, timp de răspuns, activități derulate, feedback primit, rezultate ale intervențiilor.</w:t>
      </w:r>
    </w:p>
    <w:p>
      <w:pPr>
        <w:pStyle w:val="ListBullet"/>
        <w:spacing w:after="80"/>
      </w:pPr>
      <w:r>
        <w:rPr>
          <w:sz w:val="20"/>
        </w:rPr>
        <w:t>Elaborarea rapoartelor într-un format comparabil de la o perioadă la alta, pentru a observa tendințe și nevoi emergente.</w:t>
      </w:r>
    </w:p>
    <w:p>
      <w:pPr>
        <w:pStyle w:val="ListBullet"/>
        <w:spacing w:after="80"/>
      </w:pPr>
      <w:r>
        <w:rPr>
          <w:sz w:val="20"/>
        </w:rPr>
        <w:t>Utilizarea datelor pentru prioritizarea resurselor, planificarea formării și îmbunătățirea procedurilor.</w:t>
      </w:r>
    </w:p>
    <w:p>
      <w:pPr>
        <w:pStyle w:val="ListBullet"/>
        <w:spacing w:after="80"/>
      </w:pPr>
      <w:r>
        <w:rPr>
          <w:sz w:val="20"/>
        </w:rPr>
        <w:t>Publicarea unor sinteze accesibile pentru comunitate, fără date personale sau informații care pot identifica beneficiarii.</w:t>
      </w:r>
    </w:p>
    <w:p>
      <w:pPr>
        <w:pStyle w:val="Heading2"/>
        <w:spacing w:before="120" w:after="60"/>
      </w:pPr>
      <w:r>
        <w:rPr>
          <w:sz w:val="25"/>
        </w:rPr>
        <w:t>3.6. Parteneriate educaționale și comunitare</w:t>
      </w:r>
    </w:p>
    <w:p>
      <w:pPr>
        <w:pStyle w:val="ListBullet"/>
        <w:spacing w:after="80"/>
      </w:pPr>
      <w:r>
        <w:rPr>
          <w:sz w:val="20"/>
        </w:rPr>
        <w:t>Dezvoltarea de parteneriate cu unități de învățământ, instituții publice, organizații neguvernamentale, universități și specialiști din domenii conexe.</w:t>
      </w:r>
    </w:p>
    <w:p>
      <w:pPr>
        <w:pStyle w:val="ListBullet"/>
        <w:spacing w:after="80"/>
      </w:pPr>
      <w:r>
        <w:rPr>
          <w:sz w:val="20"/>
        </w:rPr>
        <w:t>Stabilirea clară a responsabilităților, calendarului și rezultatelor așteptate pentru fiecare colaborare.</w:t>
      </w:r>
    </w:p>
    <w:p>
      <w:pPr>
        <w:pStyle w:val="ListBullet"/>
        <w:spacing w:after="80"/>
      </w:pPr>
      <w:r>
        <w:rPr>
          <w:sz w:val="20"/>
        </w:rPr>
        <w:t>Orientarea proiectelor către nevoi concrete: incluziune, prevenirea abandonului, consiliere parentală, orientare în carieră, dezvoltare socio-emoțională, siguranță și bunăstare.</w:t>
      </w:r>
    </w:p>
    <w:p>
      <w:pPr>
        <w:pStyle w:val="ListBullet"/>
        <w:spacing w:after="80"/>
      </w:pPr>
      <w:r>
        <w:rPr>
          <w:sz w:val="20"/>
        </w:rPr>
        <w:t>Evaluarea parteneriatelor prin rezultate vizibile, feedback și sustenabilitate.</w:t>
      </w:r>
    </w:p>
    <w:p>
      <w:pPr>
        <w:pStyle w:val="Heading2"/>
        <w:spacing w:before="120" w:after="60"/>
      </w:pPr>
      <w:r>
        <w:rPr>
          <w:sz w:val="25"/>
        </w:rPr>
        <w:t>3.7. Digitalizare și managementul informației</w:t>
      </w:r>
    </w:p>
    <w:p>
      <w:pPr>
        <w:pStyle w:val="ListBullet"/>
        <w:spacing w:after="80"/>
      </w:pPr>
      <w:r>
        <w:rPr>
          <w:sz w:val="20"/>
        </w:rPr>
        <w:t>Utilizarea formularelor, registrelor și bazelor de date într-un mod unitar, sigur și ușor de actualizat.</w:t>
      </w:r>
    </w:p>
    <w:p>
      <w:pPr>
        <w:pStyle w:val="ListBullet"/>
        <w:spacing w:after="80"/>
      </w:pPr>
      <w:r>
        <w:rPr>
          <w:sz w:val="20"/>
        </w:rPr>
        <w:t>Crearea unei biblioteci digitale de resurse pentru cadre didactice, părinți și specialiști.</w:t>
      </w:r>
    </w:p>
    <w:p>
      <w:pPr>
        <w:pStyle w:val="ListBullet"/>
        <w:spacing w:after="80"/>
      </w:pPr>
      <w:r>
        <w:rPr>
          <w:sz w:val="20"/>
        </w:rPr>
        <w:t>Publicarea materialelor utile într-o structură intuitivă pe site: servicii, proceduri, formulare, ghiduri, proiecte, contacte.</w:t>
      </w:r>
    </w:p>
    <w:p>
      <w:pPr>
        <w:pStyle w:val="ListBullet"/>
        <w:spacing w:after="80"/>
      </w:pPr>
      <w:r>
        <w:rPr>
          <w:sz w:val="20"/>
        </w:rPr>
        <w:t>Respectarea normelor de securitate, confidențialitate și acces diferențiat la documente.</w:t>
      </w:r>
    </w:p>
    <w:p>
      <w:pPr>
        <w:pStyle w:val="Heading1"/>
        <w:spacing w:before="120" w:after="60"/>
      </w:pPr>
      <w:r>
        <w:rPr>
          <w:sz w:val="30"/>
        </w:rPr>
        <w:t>4. Model de practică managerială: ciclul PDCA</w:t>
      </w:r>
    </w:p>
    <w:p>
      <w:pPr>
        <w:spacing w:after="80"/>
      </w:pPr>
      <w:r>
        <w:rPr>
          <w:sz w:val="20"/>
        </w:rPr>
        <w:t>Pentru coordonarea activităților, CJRAE poate utiliza un ciclu simplu de îmbunătățire continuă:</w:t>
      </w:r>
    </w:p>
    <w:p>
      <w:pPr>
        <w:pStyle w:val="ListNumber"/>
        <w:spacing w:after="80"/>
      </w:pPr>
      <w:r>
        <w:rPr>
          <w:sz w:val="20"/>
        </w:rPr>
        <w:t>Planifică: identificarea nevoilor, stabilirea obiectivelor, alocarea resurselor și comunicarea calendarului.</w:t>
      </w:r>
    </w:p>
    <w:p>
      <w:pPr>
        <w:pStyle w:val="ListNumber"/>
        <w:spacing w:after="80"/>
      </w:pPr>
      <w:r>
        <w:rPr>
          <w:sz w:val="20"/>
        </w:rPr>
        <w:t>Implementează: derularea activităților conform procedurilor și responsabilităților stabilite.</w:t>
      </w:r>
    </w:p>
    <w:p>
      <w:pPr>
        <w:pStyle w:val="ListNumber"/>
        <w:spacing w:after="80"/>
      </w:pPr>
      <w:r>
        <w:rPr>
          <w:sz w:val="20"/>
        </w:rPr>
        <w:t>Verifică: colectarea datelor, analiza feedbackului, monitorizarea indicatorilor și identificarea dificultăților.</w:t>
      </w:r>
    </w:p>
    <w:p>
      <w:pPr>
        <w:pStyle w:val="ListNumber"/>
        <w:spacing w:after="80"/>
      </w:pPr>
      <w:r>
        <w:rPr>
          <w:sz w:val="20"/>
        </w:rPr>
        <w:t>Ajustează: revizuirea procedurilor, redistribuirea resurselor, actualizarea materialelor și îmbunătățirea comunicării.</w:t>
      </w:r>
    </w:p>
    <w:p>
      <w:pPr>
        <w:pStyle w:val="Heading1"/>
        <w:spacing w:before="120" w:after="60"/>
      </w:pPr>
      <w:r>
        <w:rPr>
          <w:sz w:val="30"/>
        </w:rPr>
        <w:t>5. Indicatori orientativi pentru autoevaluare managerială</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shd w:fill="D9EAF7"/>
          </w:tcPr>
          <w:p>
            <w:pPr>
              <w:spacing w:after="20"/>
            </w:pPr>
            <w:r>
              <w:rPr>
                <w:sz w:val="19"/>
              </w:rPr>
            </w:r>
            <w:r>
              <w:rPr>
                <w:b/>
                <w:sz w:val="19"/>
              </w:rPr>
              <w:t>Dimensiune urmărită</w:t>
            </w:r>
          </w:p>
        </w:tc>
        <w:tc>
          <w:tcPr>
            <w:tcW w:type="dxa" w:w="5112"/>
            <w:shd w:fill="D9EAF7"/>
          </w:tcPr>
          <w:p>
            <w:pPr>
              <w:spacing w:after="20"/>
            </w:pPr>
            <w:r>
              <w:rPr>
                <w:sz w:val="19"/>
              </w:rPr>
            </w:r>
            <w:r>
              <w:rPr>
                <w:b/>
                <w:sz w:val="19"/>
              </w:rPr>
              <w:t>Întrebare de autoevaluare</w:t>
            </w:r>
          </w:p>
        </w:tc>
      </w:tr>
      <w:tr>
        <w:tc>
          <w:tcPr>
            <w:tcW w:type="dxa" w:w="5112"/>
          </w:tcPr>
          <w:p>
            <w:pPr>
              <w:spacing w:after="20"/>
            </w:pPr>
            <w:r>
              <w:rPr>
                <w:sz w:val="19"/>
              </w:rPr>
            </w:r>
            <w:r>
              <w:rPr>
                <w:b/>
                <w:sz w:val="19"/>
              </w:rPr>
              <w:t>Accesibilitate</w:t>
            </w:r>
          </w:p>
        </w:tc>
        <w:tc>
          <w:tcPr>
            <w:tcW w:type="dxa" w:w="5112"/>
          </w:tcPr>
          <w:p>
            <w:pPr>
              <w:spacing w:after="20"/>
            </w:pPr>
            <w:r>
              <w:rPr>
                <w:sz w:val="19"/>
              </w:rPr>
            </w:r>
            <w:r>
              <w:rPr>
                <w:b w:val="0"/>
                <w:sz w:val="19"/>
              </w:rPr>
              <w:t>Informațiile de pe site sunt actualizate, ușor de găsit și formulate clar.</w:t>
            </w:r>
          </w:p>
        </w:tc>
      </w:tr>
      <w:tr>
        <w:tc>
          <w:tcPr>
            <w:tcW w:type="dxa" w:w="5112"/>
          </w:tcPr>
          <w:p>
            <w:pPr>
              <w:spacing w:after="20"/>
            </w:pPr>
            <w:r>
              <w:rPr>
                <w:sz w:val="19"/>
              </w:rPr>
            </w:r>
            <w:r>
              <w:rPr>
                <w:b/>
                <w:sz w:val="19"/>
              </w:rPr>
              <w:t>Promptitudine</w:t>
            </w:r>
          </w:p>
        </w:tc>
        <w:tc>
          <w:tcPr>
            <w:tcW w:type="dxa" w:w="5112"/>
          </w:tcPr>
          <w:p>
            <w:pPr>
              <w:spacing w:after="20"/>
            </w:pPr>
            <w:r>
              <w:rPr>
                <w:sz w:val="19"/>
              </w:rPr>
            </w:r>
            <w:r>
              <w:rPr>
                <w:b w:val="0"/>
                <w:sz w:val="19"/>
              </w:rPr>
              <w:t>Solicitările beneficiarilor primesc răspuns în termene cunoscute și asumate.</w:t>
            </w:r>
          </w:p>
        </w:tc>
      </w:tr>
      <w:tr>
        <w:tc>
          <w:tcPr>
            <w:tcW w:type="dxa" w:w="5112"/>
          </w:tcPr>
          <w:p>
            <w:pPr>
              <w:spacing w:after="20"/>
            </w:pPr>
            <w:r>
              <w:rPr>
                <w:sz w:val="19"/>
              </w:rPr>
            </w:r>
            <w:r>
              <w:rPr>
                <w:b/>
                <w:sz w:val="19"/>
              </w:rPr>
              <w:t>Coerență procedurală</w:t>
            </w:r>
          </w:p>
        </w:tc>
        <w:tc>
          <w:tcPr>
            <w:tcW w:type="dxa" w:w="5112"/>
          </w:tcPr>
          <w:p>
            <w:pPr>
              <w:spacing w:after="20"/>
            </w:pPr>
            <w:r>
              <w:rPr>
                <w:sz w:val="19"/>
              </w:rPr>
            </w:r>
            <w:r>
              <w:rPr>
                <w:b w:val="0"/>
                <w:sz w:val="19"/>
              </w:rPr>
              <w:t>Activitățile similare sunt derulate după reguli unitare, cunoscute de personal.</w:t>
            </w:r>
          </w:p>
        </w:tc>
      </w:tr>
      <w:tr>
        <w:tc>
          <w:tcPr>
            <w:tcW w:type="dxa" w:w="5112"/>
          </w:tcPr>
          <w:p>
            <w:pPr>
              <w:spacing w:after="20"/>
            </w:pPr>
            <w:r>
              <w:rPr>
                <w:sz w:val="19"/>
              </w:rPr>
            </w:r>
            <w:r>
              <w:rPr>
                <w:b/>
                <w:sz w:val="19"/>
              </w:rPr>
              <w:t>Calitatea colaborării</w:t>
            </w:r>
          </w:p>
        </w:tc>
        <w:tc>
          <w:tcPr>
            <w:tcW w:type="dxa" w:w="5112"/>
          </w:tcPr>
          <w:p>
            <w:pPr>
              <w:spacing w:after="20"/>
            </w:pPr>
            <w:r>
              <w:rPr>
                <w:sz w:val="19"/>
              </w:rPr>
            </w:r>
            <w:r>
              <w:rPr>
                <w:b w:val="0"/>
                <w:sz w:val="19"/>
              </w:rPr>
              <w:t>Există comunicare eficientă între compartimente, școli, familii și parteneri.</w:t>
            </w:r>
          </w:p>
        </w:tc>
      </w:tr>
      <w:tr>
        <w:tc>
          <w:tcPr>
            <w:tcW w:type="dxa" w:w="5112"/>
          </w:tcPr>
          <w:p>
            <w:pPr>
              <w:spacing w:after="20"/>
            </w:pPr>
            <w:r>
              <w:rPr>
                <w:sz w:val="19"/>
              </w:rPr>
            </w:r>
            <w:r>
              <w:rPr>
                <w:b/>
                <w:sz w:val="19"/>
              </w:rPr>
              <w:t>Utilizarea datelor</w:t>
            </w:r>
          </w:p>
        </w:tc>
        <w:tc>
          <w:tcPr>
            <w:tcW w:type="dxa" w:w="5112"/>
          </w:tcPr>
          <w:p>
            <w:pPr>
              <w:spacing w:after="20"/>
            </w:pPr>
            <w:r>
              <w:rPr>
                <w:sz w:val="19"/>
              </w:rPr>
            </w:r>
            <w:r>
              <w:rPr>
                <w:b w:val="0"/>
                <w:sz w:val="19"/>
              </w:rPr>
              <w:t>Rapoartele și feedbackul influențează planificarea și prioritizarea activităților.</w:t>
            </w:r>
          </w:p>
        </w:tc>
      </w:tr>
      <w:tr>
        <w:tc>
          <w:tcPr>
            <w:tcW w:type="dxa" w:w="5112"/>
          </w:tcPr>
          <w:p>
            <w:pPr>
              <w:spacing w:after="20"/>
            </w:pPr>
            <w:r>
              <w:rPr>
                <w:sz w:val="19"/>
              </w:rPr>
            </w:r>
            <w:r>
              <w:rPr>
                <w:b/>
                <w:sz w:val="19"/>
              </w:rPr>
              <w:t>Dezvoltare profesională</w:t>
            </w:r>
          </w:p>
        </w:tc>
        <w:tc>
          <w:tcPr>
            <w:tcW w:type="dxa" w:w="5112"/>
          </w:tcPr>
          <w:p>
            <w:pPr>
              <w:spacing w:after="20"/>
            </w:pPr>
            <w:r>
              <w:rPr>
                <w:sz w:val="19"/>
              </w:rPr>
            </w:r>
            <w:r>
              <w:rPr>
                <w:b w:val="0"/>
                <w:sz w:val="19"/>
              </w:rPr>
              <w:t>Nevoile de formare ale specialiștilor sunt identificate și sprijinite.</w:t>
            </w:r>
          </w:p>
        </w:tc>
      </w:tr>
      <w:tr>
        <w:tc>
          <w:tcPr>
            <w:tcW w:type="dxa" w:w="5112"/>
          </w:tcPr>
          <w:p>
            <w:pPr>
              <w:spacing w:after="20"/>
            </w:pPr>
            <w:r>
              <w:rPr>
                <w:sz w:val="19"/>
              </w:rPr>
            </w:r>
            <w:r>
              <w:rPr>
                <w:b/>
                <w:sz w:val="19"/>
              </w:rPr>
              <w:t>Impact</w:t>
            </w:r>
          </w:p>
        </w:tc>
        <w:tc>
          <w:tcPr>
            <w:tcW w:type="dxa" w:w="5112"/>
          </w:tcPr>
          <w:p>
            <w:pPr>
              <w:spacing w:after="20"/>
            </w:pPr>
            <w:r>
              <w:rPr>
                <w:sz w:val="19"/>
              </w:rPr>
            </w:r>
            <w:r>
              <w:rPr>
                <w:b w:val="0"/>
                <w:sz w:val="19"/>
              </w:rPr>
              <w:t>Serviciile contribuie la incluziune, orientare, sprijin emoțional și reducerea riscurilor educaționale.</w:t>
            </w:r>
          </w:p>
        </w:tc>
      </w:tr>
    </w:tbl>
    <w:p>
      <w:pPr>
        <w:pStyle w:val="Heading1"/>
        <w:spacing w:before="120" w:after="60"/>
      </w:pPr>
      <w:r>
        <w:rPr>
          <w:sz w:val="30"/>
        </w:rPr>
        <w:t>6. Recomandări pentru publicarea pe site</w:t>
      </w:r>
    </w:p>
    <w:p>
      <w:pPr>
        <w:pStyle w:val="ListBullet"/>
        <w:spacing w:after="80"/>
      </w:pPr>
      <w:r>
        <w:rPr>
          <w:sz w:val="20"/>
        </w:rPr>
        <w:t>Publicarea documentului într-o pagină distinctă, cu titlu clar și introducere scurtă pentru beneficiari.</w:t>
      </w:r>
    </w:p>
    <w:p>
      <w:pPr>
        <w:pStyle w:val="ListBullet"/>
        <w:spacing w:after="80"/>
      </w:pPr>
      <w:r>
        <w:rPr>
          <w:sz w:val="20"/>
        </w:rPr>
        <w:t>Adăugarea unui link către proceduri, servicii, date de contact și materiale utile, pentru navigare rapidă.</w:t>
      </w:r>
    </w:p>
    <w:p>
      <w:pPr>
        <w:pStyle w:val="ListBullet"/>
        <w:spacing w:after="80"/>
      </w:pPr>
      <w:r>
        <w:rPr>
          <w:sz w:val="20"/>
        </w:rPr>
        <w:t>Actualizarea anuală sau ori de câte ori apar modificări legislative, procedurale ori organizatorice.</w:t>
      </w:r>
    </w:p>
    <w:p>
      <w:pPr>
        <w:pStyle w:val="ListBullet"/>
        <w:spacing w:after="80"/>
      </w:pPr>
      <w:r>
        <w:rPr>
          <w:sz w:val="20"/>
        </w:rPr>
        <w:t>Folosirea unei versiuni PDF pentru descărcare și a unei versiuni HTML pentru citire directă pe site.</w:t>
      </w:r>
    </w:p>
    <w:p>
      <w:pPr>
        <w:pStyle w:val="ListBullet"/>
        <w:spacing w:after="80"/>
      </w:pPr>
      <w:r>
        <w:rPr>
          <w:sz w:val="20"/>
        </w:rPr>
        <w:t>Menținerea unui ton instituțional, dar prietenos, centrat pe sprijin, calitate și colaborare.</w:t>
      </w:r>
    </w:p>
    <w:p>
      <w:pPr>
        <w:pStyle w:val="Heading1"/>
        <w:spacing w:before="120" w:after="60"/>
      </w:pPr>
      <w:r>
        <w:rPr>
          <w:sz w:val="30"/>
        </w:rPr>
        <w:t>7. Checklist managerial pentru revizuire periodică</w:t>
      </w:r>
    </w:p>
    <w:p>
      <w:pPr>
        <w:spacing w:after="80"/>
      </w:pPr>
      <w:r>
        <w:rPr>
          <w:sz w:val="20"/>
        </w:rPr>
        <w:t xml:space="preserve">☐ </w:t>
      </w:r>
      <w:r>
        <w:rPr>
          <w:sz w:val="20"/>
        </w:rPr>
        <w:t>Planul managerial este corelat cu nevoile beneficiarilor și cu datele colectate din activitatea curentă.</w:t>
      </w:r>
    </w:p>
    <w:p>
      <w:pPr>
        <w:spacing w:after="80"/>
      </w:pPr>
      <w:r>
        <w:rPr>
          <w:sz w:val="20"/>
        </w:rPr>
        <w:t xml:space="preserve">☐ </w:t>
      </w:r>
      <w:r>
        <w:rPr>
          <w:sz w:val="20"/>
        </w:rPr>
        <w:t>Procedurile de lucru sunt cunoscute, aplicate unitar și publicate atunci când sunt de interes public.</w:t>
      </w:r>
    </w:p>
    <w:p>
      <w:pPr>
        <w:spacing w:after="80"/>
      </w:pPr>
      <w:r>
        <w:rPr>
          <w:sz w:val="20"/>
        </w:rPr>
        <w:t xml:space="preserve">☐ </w:t>
      </w:r>
      <w:r>
        <w:rPr>
          <w:sz w:val="20"/>
        </w:rPr>
        <w:t>Responsabilitățile sunt clar definite pentru fiecare compartiment și categorie de activitate.</w:t>
      </w:r>
    </w:p>
    <w:p>
      <w:pPr>
        <w:spacing w:after="80"/>
      </w:pPr>
      <w:r>
        <w:rPr>
          <w:sz w:val="20"/>
        </w:rPr>
        <w:t xml:space="preserve">☐ </w:t>
      </w:r>
      <w:r>
        <w:rPr>
          <w:sz w:val="20"/>
        </w:rPr>
        <w:t>Informațiile de pe site sunt actualizate și accesibile.</w:t>
      </w:r>
    </w:p>
    <w:p>
      <w:pPr>
        <w:spacing w:after="80"/>
      </w:pPr>
      <w:r>
        <w:rPr>
          <w:sz w:val="20"/>
        </w:rPr>
        <w:t xml:space="preserve">☐ </w:t>
      </w:r>
      <w:r>
        <w:rPr>
          <w:sz w:val="20"/>
        </w:rPr>
        <w:t>Există mecanisme de feedback pentru beneficiari și personal.</w:t>
      </w:r>
    </w:p>
    <w:p>
      <w:pPr>
        <w:spacing w:after="80"/>
      </w:pPr>
      <w:r>
        <w:rPr>
          <w:sz w:val="20"/>
        </w:rPr>
        <w:t xml:space="preserve">☐ </w:t>
      </w:r>
      <w:r>
        <w:rPr>
          <w:sz w:val="20"/>
        </w:rPr>
        <w:t>Datele sunt folosite pentru raportare, îmbunătățire și planificarea resurselor.</w:t>
      </w:r>
    </w:p>
    <w:p>
      <w:pPr>
        <w:spacing w:after="80"/>
      </w:pPr>
      <w:r>
        <w:rPr>
          <w:sz w:val="20"/>
        </w:rPr>
        <w:t xml:space="preserve">☐ </w:t>
      </w:r>
      <w:r>
        <w:rPr>
          <w:sz w:val="20"/>
        </w:rPr>
        <w:t>Parteneriatele au obiective clare, rezultate urmărite și responsabilități asumate.</w:t>
      </w:r>
    </w:p>
    <w:p>
      <w:pPr>
        <w:spacing w:after="80"/>
      </w:pPr>
      <w:r>
        <w:rPr>
          <w:sz w:val="20"/>
        </w:rPr>
        <w:t xml:space="preserve">☐ </w:t>
      </w:r>
      <w:r>
        <w:rPr>
          <w:sz w:val="20"/>
        </w:rPr>
        <w:t>Confidențialitatea și etica profesională sunt respectate în toate etapele activității.</w:t>
      </w:r>
    </w:p>
    <w:p>
      <w:pPr>
        <w:pStyle w:val="Heading1"/>
        <w:spacing w:before="120" w:after="60"/>
      </w:pPr>
      <w:r>
        <w:rPr>
          <w:sz w:val="30"/>
        </w:rPr>
        <w:t>8. Concluzie</w:t>
      </w:r>
    </w:p>
    <w:p>
      <w:pPr>
        <w:spacing w:after="80"/>
      </w:pPr>
      <w:r>
        <w:rPr>
          <w:sz w:val="20"/>
        </w:rPr>
        <w:t>Managementul eficient al serviciilor CJRAE Timiș presupune echilibru între rigoare administrativă, leadership colaborativ și sensibilitate față de nevoile beneficiarilor. Prin aplicarea unor bune practici centrate pe transparență, date, colaborare și îmbunătățire continuă, instituția poate consolida încrederea comunității educaționale și poate sprijini mai eficient dezvoltarea incluzivă a copiilor și elevilor din județul Timiș.</w:t>
      </w:r>
    </w:p>
    <w:p>
      <w:pPr>
        <w:pStyle w:val="Heading1"/>
        <w:spacing w:before="120" w:after="60"/>
      </w:pPr>
      <w:r>
        <w:rPr>
          <w:sz w:val="30"/>
        </w:rPr>
        <w:t>Surse consultate</w:t>
      </w:r>
    </w:p>
    <w:p>
      <w:pPr>
        <w:pStyle w:val="ListBullet"/>
        <w:spacing w:after="20"/>
      </w:pPr>
      <w:r>
        <w:rPr>
          <w:sz w:val="18"/>
        </w:rPr>
        <w:t>Site-ul oficial CJRAE Timiș: https://cjraetm.ro/ - informații privind serviciile specializate, beneficiarii și structura instituțională.</w:t>
      </w:r>
    </w:p>
    <w:p>
      <w:pPr>
        <w:pStyle w:val="ListBullet"/>
        <w:spacing w:after="20"/>
      </w:pPr>
      <w:r>
        <w:rPr>
          <w:sz w:val="18"/>
        </w:rPr>
        <w:t>Pagina „Responsabilități” CJRAE Timiș: https://cjraetm.ro/informatii-publice/responsabilitati - repere privind coordonarea, monitorizarea, evaluarea, consilierea și parteneriatele.</w:t>
      </w:r>
    </w:p>
    <w:p>
      <w:pPr>
        <w:pStyle w:val="ListBullet"/>
        <w:spacing w:after="20"/>
      </w:pPr>
      <w:r>
        <w:rPr>
          <w:sz w:val="18"/>
        </w:rPr>
        <w:t>Pagina „Proceduri” CJRAE Timiș: https://cjraetm.ro/despre-noi/proceduri-operationale - repere privind procedurile operaționale publicate.</w:t>
      </w:r>
    </w:p>
    <w:p>
      <w:pPr>
        <w:pStyle w:val="ListBullet"/>
        <w:spacing w:after="20"/>
      </w:pPr>
      <w:r>
        <w:rPr>
          <w:sz w:val="18"/>
        </w:rPr>
        <w:t>Pagina „Contact” CJRAE Timiș: https://www.cjraetm.ro/contact - date instituționale publice.</w:t>
      </w:r>
    </w:p>
    <w:sectPr w:rsidR="00FC693F" w:rsidRPr="0006063C" w:rsidSect="00034616">
      <w:headerReference w:type="default" r:id="rId9"/>
      <w:footerReference w:type="default" r:id="rId10"/>
      <w:pgSz w:w="12240" w:h="15840"/>
      <w:pgMar w:top="864"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95959"/>
        <w:sz w:val="18"/>
      </w:rPr>
      <w:t>Document suport pentru publicare pe site |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595959"/>
        <w:sz w:val="18"/>
      </w:rPr>
      <w:t>CJRAE Timiș | Bune practici manageriale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40" w:lineRule="auto"/>
    </w:pPr>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1F4E79"/>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1F4E79"/>
      <w:spacing w:val="5"/>
      <w:kern w:val="28"/>
      <w:sz w:val="4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Bune practici manageriale în activitatea CJRAE Timiș</dc:title>
  <dc:subject>Document suport pentru site</dc:subject>
  <dc:creator>OpenAI</dc:creator>
  <cp:keywords>CJRAE Timiș, bune practici manageriale, management educațional, calitate, transparență</cp:keywords>
  <dc:description>generated by python-docx</dc:description>
  <cp:lastModifiedBy/>
  <cp:revision>1</cp:revision>
  <dcterms:created xsi:type="dcterms:W3CDTF">2013-12-23T23:15:00Z</dcterms:created>
  <dcterms:modified xsi:type="dcterms:W3CDTF">2013-12-23T23:15:00Z</dcterms:modified>
  <cp:category/>
</cp:coreProperties>
</file>